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2FEA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ANEXO AP-01 - TERMO DE CIÊNCIA E DE NOTIFICAÇÃO (ATOS DE PESSOAL) </w:t>
      </w:r>
      <w:r w:rsidRPr="00EB444A">
        <w:rPr>
          <w:rFonts w:ascii="Arial" w:eastAsia="Arial" w:hAnsi="Arial" w:cs="Arial"/>
          <w:b/>
          <w:i/>
          <w:sz w:val="20"/>
          <w:lang w:val="en-US"/>
        </w:rPr>
        <w:t>(REDAÇÃO DADA PELA RESOLUÇÃO Nº 11/2021)</w:t>
      </w:r>
    </w:p>
    <w:p w14:paraId="3746E51F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4"/>
          <w:szCs w:val="24"/>
          <w:lang w:val="en-US"/>
        </w:rPr>
      </w:pPr>
    </w:p>
    <w:p w14:paraId="35D0AA2F" w14:textId="39144EA9" w:rsidR="00F86E43" w:rsidRPr="00EB444A" w:rsidRDefault="00F86E43" w:rsidP="00F86E43">
      <w:pPr>
        <w:widowControl w:val="0"/>
        <w:tabs>
          <w:tab w:val="left" w:pos="8476"/>
          <w:tab w:val="left" w:pos="8528"/>
          <w:tab w:val="left" w:pos="857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ÓRGÃO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OU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ENTIDADE: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PROCESSO</w:t>
      </w:r>
      <w:proofErr w:type="gramEnd"/>
      <w:r w:rsidRPr="00EB444A">
        <w:rPr>
          <w:rFonts w:ascii="Arial" w:eastAsia="Arial" w:hAnsi="Arial" w:cs="Arial"/>
          <w:lang w:val="en-US"/>
        </w:rPr>
        <w:t xml:space="preserve"> Nº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(DE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37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                                                                         GESTOR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DO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ÓRGÃO/ENTIDADE: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21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RESPONSÁVEL</w:t>
      </w:r>
      <w:r w:rsidRPr="00EB444A">
        <w:rPr>
          <w:rFonts w:ascii="Arial" w:eastAsia="Arial" w:hAnsi="Arial" w:cs="Arial"/>
          <w:spacing w:val="-2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PELO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ATO: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INTERESSADO(A):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</w:t>
      </w:r>
    </w:p>
    <w:p w14:paraId="211D9CCD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8152224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2DCB855D" w14:textId="77777777" w:rsidR="00F86E43" w:rsidRPr="00EB444A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73C802CB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acima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referido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objetivando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Tribunal de Contas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objeto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prévia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análise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cujo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trâmite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processual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ocorrerá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5B2026EC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poderemos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extraindo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cópias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manifestações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cabendo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para tanto,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procedermos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à regular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habilitação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quanto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estabelece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01/2011 do</w:t>
      </w:r>
      <w:r w:rsidRPr="00EB444A">
        <w:rPr>
          <w:rFonts w:ascii="Arial" w:eastAsia="Arial" w:hAnsi="Arial" w:cs="Arial"/>
          <w:spacing w:val="-19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TCESP;</w:t>
      </w:r>
      <w:proofErr w:type="gramEnd"/>
    </w:p>
    <w:p w14:paraId="7B820B44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além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disponíveis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vierem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ser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relativamente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aludido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publicados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Oficial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Caderno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Poder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Legislativo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Tribunal de Contas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Complementar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janeiro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iniciando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partir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processuais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Código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Civil;</w:t>
      </w:r>
      <w:proofErr w:type="gramEnd"/>
    </w:p>
    <w:p w14:paraId="46F7203F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/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módulo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Corporativo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CadTCESP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Instruções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anexa</w:t>
      </w:r>
      <w:proofErr w:type="spellEnd"/>
      <w:r w:rsidRPr="00EB444A">
        <w:rPr>
          <w:rFonts w:ascii="Arial" w:eastAsia="Arial" w:hAnsi="Arial" w:cs="Arial"/>
          <w:spacing w:val="-2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);</w:t>
      </w:r>
      <w:proofErr w:type="gramEnd"/>
    </w:p>
    <w:p w14:paraId="119CE423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do(a)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(a)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deverão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mantidas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/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origem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para eventual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solicitação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</w:t>
      </w:r>
      <w:r w:rsidRPr="00EB444A">
        <w:rPr>
          <w:rFonts w:ascii="Arial" w:eastAsia="Arial" w:hAnsi="Arial" w:cs="Arial"/>
          <w:spacing w:val="-24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TCESP;</w:t>
      </w:r>
      <w:proofErr w:type="gramEnd"/>
    </w:p>
    <w:p w14:paraId="4AE8BE9F" w14:textId="77777777" w:rsidR="00F86E43" w:rsidRPr="00EB444A" w:rsidRDefault="00F86E43" w:rsidP="00F86E43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habilitação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(a)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deverão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-se sempre</w:t>
      </w:r>
      <w:r w:rsidRPr="00EB444A">
        <w:rPr>
          <w:rFonts w:ascii="Arial" w:eastAsia="Arial" w:hAnsi="Arial" w:cs="Arial"/>
          <w:spacing w:val="-17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atualizados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5DE5C488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52B18F64" w14:textId="77777777" w:rsidR="00F86E43" w:rsidRPr="00EB444A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00D6BE15" w14:textId="77777777" w:rsidR="00F86E43" w:rsidRPr="00EB444A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até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publicação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4946DB6F" w14:textId="77777777" w:rsidR="00F86E43" w:rsidRPr="00EB444A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formas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regimentais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exercer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direito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defesa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interpor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o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mais</w:t>
      </w:r>
      <w:proofErr w:type="spellEnd"/>
      <w:r w:rsidRPr="00EB444A">
        <w:rPr>
          <w:rFonts w:ascii="Arial" w:eastAsia="Arial" w:hAnsi="Arial" w:cs="Arial"/>
          <w:spacing w:val="-25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couber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3E5D06D2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1DB6EE6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2A3A2168" w14:textId="77777777" w:rsidR="00F86E43" w:rsidRPr="00EB444A" w:rsidRDefault="00F86E43" w:rsidP="00F86E4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</w:t>
      </w:r>
      <w:r w:rsidRPr="00EB444A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DATA:</w:t>
      </w:r>
      <w:r w:rsidRPr="00EB444A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ab/>
      </w:r>
    </w:p>
    <w:p w14:paraId="132060EF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C33759B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D33B1C5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0337B314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0ADDB7F2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ÓRGÃO/ENTIDADE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4DFF0A58" w14:textId="77777777" w:rsidR="00F86E43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EC039EB" w14:textId="1E6DF070" w:rsidR="00F86E43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Ca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6E682CC" w14:textId="1F7AC4F0" w:rsidR="00F86E43" w:rsidRPr="00EB444A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u w:val="single"/>
          <w:lang w:val="en-US"/>
        </w:rPr>
        <w:t>C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434D2AD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982E3E0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RESPONSÁVEL PELO ATO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8058FD6" w14:textId="77777777" w:rsidR="00F86E43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D6D0EF3" w14:textId="01E2E205" w:rsidR="00F86E43" w:rsidRPr="00EB444A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BE33C72" w14:textId="32581668" w:rsidR="00F86E43" w:rsidRPr="00EB444A" w:rsidRDefault="00F86E43" w:rsidP="00F86E43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_____________________________________________________</w:t>
      </w:r>
    </w:p>
    <w:p w14:paraId="6792B5C8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254A7BB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  <w:lang w:val="en-US"/>
        </w:rPr>
      </w:pPr>
    </w:p>
    <w:p w14:paraId="04B35DE5" w14:textId="77777777" w:rsidR="00F86E43" w:rsidRPr="00EB444A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INTERESSADO(A)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DA9D6CD" w14:textId="77777777" w:rsidR="00F86E43" w:rsidRDefault="00F86E43" w:rsidP="00F86E43">
      <w:pPr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65694757" w14:textId="77777777" w:rsidR="00F86E43" w:rsidRDefault="00F86E43" w:rsidP="00F86E43">
      <w:pPr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 (se for</w:t>
      </w:r>
      <w:r w:rsidRPr="00EB444A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o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35F98618" w14:textId="77777777" w:rsidR="00F613F5" w:rsidRDefault="00CE2BB3" w:rsidP="00CE2BB3">
      <w:pPr>
        <w:widowControl w:val="0"/>
        <w:tabs>
          <w:tab w:val="left" w:pos="4379"/>
          <w:tab w:val="left" w:pos="8486"/>
          <w:tab w:val="left" w:pos="8538"/>
          <w:tab w:val="left" w:pos="862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A473E2B" w14:textId="44E45B51" w:rsidR="0085375B" w:rsidRPr="00CE2BB3" w:rsidRDefault="00F613F5" w:rsidP="00F613F5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_____________________________________________________</w:t>
      </w:r>
    </w:p>
    <w:sectPr w:rsidR="0085375B" w:rsidRPr="00CE2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1345"/>
    <w:multiLevelType w:val="hybridMultilevel"/>
    <w:tmpl w:val="DBDC09E4"/>
    <w:lvl w:ilvl="0" w:tplc="C50AC11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2DC8BDF4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DB30709C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93BCF5DE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E1FABC38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4F049F68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C9AE9FF8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6AF0D73E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1A22DF4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1" w15:restartNumberingAfterBreak="0">
    <w:nsid w:val="36771FDB"/>
    <w:multiLevelType w:val="hybridMultilevel"/>
    <w:tmpl w:val="8FF05AE4"/>
    <w:lvl w:ilvl="0" w:tplc="684A750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8701D3A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B0E837D6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7494AC6A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F2ECF398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C0DAE522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DD2C9884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98C8CC9E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45F8C78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62227144"/>
    <w:multiLevelType w:val="hybridMultilevel"/>
    <w:tmpl w:val="1DE0985C"/>
    <w:lvl w:ilvl="0" w:tplc="818E992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B3AE8CDC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575CCD1A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8AE2B4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E2267A5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3C1A438A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9904DA2E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8F7AB6AA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4B78D3B4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43"/>
    <w:rsid w:val="00727EC6"/>
    <w:rsid w:val="0085375B"/>
    <w:rsid w:val="00A5145C"/>
    <w:rsid w:val="00B108BC"/>
    <w:rsid w:val="00CE2BB3"/>
    <w:rsid w:val="00EE5808"/>
    <w:rsid w:val="00F613F5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265"/>
  <w15:chartTrackingRefBased/>
  <w15:docId w15:val="{4BA83418-12F5-4C1A-BF23-4ECEF12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Paulo Massaru Uesugi Sugiura</cp:lastModifiedBy>
  <cp:revision>2</cp:revision>
  <dcterms:created xsi:type="dcterms:W3CDTF">2022-02-14T20:37:00Z</dcterms:created>
  <dcterms:modified xsi:type="dcterms:W3CDTF">2022-02-14T20:37:00Z</dcterms:modified>
</cp:coreProperties>
</file>